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rPr>
          <w:rFonts w:ascii="Commissioner" w:hAnsi="Commissioner"/>
        </w:rPr>
        <w:t>Договор на оказание услуг</w:t>
      </w:r>
    </w:p>
    <w:p>
      <w:pPr>
        <w:pStyle w:val="Subtitle"/>
        <w:widowControl/>
      </w:pPr>
      <w:r>
        <w:rPr>
          <w:rFonts w:ascii="Commissioner" w:hAnsi="Commissioner"/>
        </w:rPr>
        <w:t>Музыкальное оформление мероприятия</w:t>
      </w:r>
    </w:p>
    <w:p>
      <w:pPr>
        <w:widowControl/>
      </w:pPr>
      <w:r>
        <w:rPr>
          <w:rFonts w:ascii="Commissioner" w:hAnsi="Commissioner"/>
        </w:rPr>
        <w:t>№ __________    г. __________________    «___» __________ 20___ г.</w:t>
      </w:r>
    </w:p>
    <w:p>
      <w:pPr>
        <w:widowControl/>
      </w:pPr>
      <w:r>
        <w:rPr>
          <w:rFonts w:ascii="Commissioner" w:hAnsi="Commissioner"/>
        </w:rPr>
        <w:t>Индивидуальный предприниматель Фомичёв Дмитрий Сергеевич, ИНН 672907568230, ОГРНИП 310392634900121, именуемый «Исполнитель», и ________________________________________________ (Ф. И. О. гражданина / наименование организации или ИП), именуемый «Заказчик», в лице ____________________________________, действующего на основании ____________________ (для представителя), заключили настоящий договор.</w:t>
      </w:r>
    </w:p>
    <w:p>
      <w:pPr>
        <w:pStyle w:val="Heading1"/>
        <w:widowControl/>
      </w:pPr>
      <w:r>
        <w:rPr>
          <w:rFonts w:ascii="Commissioner" w:hAnsi="Commissioner"/>
        </w:rPr>
        <w:t>1. Предмет и параметры мероприятия</w:t>
      </w:r>
    </w:p>
    <w:p>
      <w:pPr>
        <w:widowControl/>
      </w:pPr>
      <w:r>
        <w:rPr>
          <w:rFonts w:ascii="Commissioner" w:hAnsi="Commissioner"/>
        </w:rPr>
        <w:t>1.1. Исполнитель обязуется оказать услугу «Музыкальное оформление мероприятия», а Заказчик — принять и оплатить её на условиях договора. Выступление проводит лично артист FOMICHÈV. Общая продолжительность сета — 2 (два) часа.</w:t>
      </w:r>
    </w:p>
    <w:p>
      <w:pPr>
        <w:widowControl/>
      </w:pPr>
      <w:r>
        <w:rPr>
          <w:rFonts w:ascii="Commissioner" w:hAnsi="Commissioner"/>
          <w:b/>
        </w:rPr>
        <w:t xml:space="preserve">Мероприятие / формат: </w:t>
      </w:r>
      <w:r>
        <w:rPr>
          <w:rFonts w:ascii="Commissioner" w:hAnsi="Commissioner"/>
        </w:rPr>
        <w:t>________________________________________________</w:t>
      </w:r>
    </w:p>
    <w:p>
      <w:pPr>
        <w:widowControl/>
      </w:pPr>
      <w:r>
        <w:rPr>
          <w:rFonts w:ascii="Commissioner" w:hAnsi="Commissioner"/>
          <w:b/>
        </w:rPr>
        <w:t xml:space="preserve">Дата, время начала и окончания: </w:t>
      </w:r>
      <w:r>
        <w:rPr>
          <w:rFonts w:ascii="Commissioner" w:hAnsi="Commissioner"/>
        </w:rPr>
        <w:t>________________________________________________</w:t>
      </w:r>
    </w:p>
    <w:p>
      <w:pPr>
        <w:widowControl/>
      </w:pPr>
      <w:r>
        <w:rPr>
          <w:rFonts w:ascii="Commissioner" w:hAnsi="Commissioner"/>
          <w:b/>
        </w:rPr>
        <w:t xml:space="preserve">Город, площадка и точный адрес: </w:t>
      </w:r>
      <w:r>
        <w:rPr>
          <w:rFonts w:ascii="Commissioner" w:hAnsi="Commissioner"/>
        </w:rPr>
        <w:t>________________________________________________</w:t>
      </w:r>
    </w:p>
    <w:p>
      <w:pPr>
        <w:widowControl/>
      </w:pPr>
      <w:r>
        <w:rPr>
          <w:rFonts w:ascii="Commissioner" w:hAnsi="Commissioner"/>
          <w:b/>
        </w:rPr>
        <w:t xml:space="preserve">Контакт организатора на площадке: </w:t>
      </w:r>
      <w:r>
        <w:rPr>
          <w:rFonts w:ascii="Commissioner" w:hAnsi="Commissioner"/>
        </w:rPr>
        <w:t>________________________________________________</w:t>
      </w:r>
    </w:p>
    <w:p>
      <w:pPr>
        <w:widowControl/>
      </w:pPr>
      <w:r>
        <w:rPr>
          <w:rFonts w:ascii="Commissioner" w:hAnsi="Commissioner"/>
        </w:rPr>
        <w:t>1.2. Порядок выступления, перерывы, музыкальные пожелания и дресс-код стороны согласуют письменно до мероприятия. Продление сета, оригинальная музыка, дополнительные артисты и иные услуги оплачиваются только по отдельному письменному соглашению.</w:t>
      </w:r>
    </w:p>
    <w:p>
      <w:pPr>
        <w:pStyle w:val="Heading1"/>
        <w:widowControl/>
      </w:pPr>
      <w:r>
        <w:rPr>
          <w:rFonts w:ascii="Commissioner" w:hAnsi="Commissioner"/>
        </w:rPr>
        <w:t>2. Подготовка и условия площадки</w:t>
      </w:r>
    </w:p>
    <w:p>
      <w:pPr>
        <w:widowControl/>
      </w:pPr>
      <w:r>
        <w:rPr>
          <w:rFonts w:ascii="Commissioner" w:hAnsi="Commissioner"/>
        </w:rPr>
        <w:t>2.1. Исполнитель готовит музыкальную программу с учётом согласованного задания, прибывает ко времени подготовки и проводит выступление в установленный срок. Замена артиста допускается только с письменного согласия Заказчика.</w:t>
      </w:r>
    </w:p>
    <w:p>
      <w:pPr>
        <w:widowControl/>
      </w:pPr>
      <w:r>
        <w:rPr>
          <w:rFonts w:ascii="Commissioner" w:hAnsi="Commissioner"/>
        </w:rPr>
        <w:t>2.2. Заказчик предоставляет достоверные сведения о мероприятии, доступ на площадку, безопасное рабочее место и согласованное оборудование. Время подготовки и проверки звука: ____________________.</w:t>
      </w:r>
    </w:p>
    <w:p>
      <w:pPr>
        <w:widowControl/>
      </w:pPr>
      <w:r>
        <w:rPr>
          <w:rFonts w:ascii="Commissioner" w:hAnsi="Commissioner"/>
        </w:rPr>
        <w:t>2.3. Состав оборудования, ответственный за его предоставление, бытовые условия, проезд и размещение согласуются отдельно письменно. Версии технического и бытового райдеров, согласованные сторонами: ____________________. Изменения документов на сайте сами по себе условия договора не меняют.</w:t>
      </w:r>
    </w:p>
    <w:p>
      <w:pPr>
        <w:widowControl/>
      </w:pPr>
      <w:r>
        <w:rPr>
          <w:rFonts w:ascii="Commissioner" w:hAnsi="Commissioner"/>
        </w:rPr>
        <w:t>2.4. Обстоятельства, препятствующие выступлению, стороны сообщают друг другу без промедления и согласуют решение. Дополнительные расходы требуют предварительного письменного согласия Заказчика.</w:t>
      </w:r>
    </w:p>
    <w:p>
      <w:pPr>
        <w:widowControl/>
      </w:pPr>
      <w:r>
        <w:rPr>
          <w:rFonts w:ascii="Commissioner" w:hAnsi="Commissioner"/>
        </w:rPr>
        <w:br w:type="page"/>
      </w:r>
    </w:p>
    <w:p>
      <w:pPr>
        <w:pStyle w:val="Heading1"/>
        <w:widowControl/>
      </w:pPr>
      <w:r>
        <w:rPr>
          <w:rFonts w:ascii="Commissioner" w:hAnsi="Commissioner"/>
        </w:rPr>
        <w:t>3. Стоимость и порядок оплаты</w:t>
      </w:r>
    </w:p>
    <w:p>
      <w:pPr>
        <w:widowControl/>
      </w:pPr>
      <w:r>
        <w:rPr>
          <w:rFonts w:ascii="Commissioner" w:hAnsi="Commissioner"/>
        </w:rPr>
        <w:t>3.1. Общая стоимость услуги: __________ (____________________________) рублей. В неё входят подготовка программы и выступление по разделу 1.</w:t>
      </w:r>
    </w:p>
    <w:p>
      <w:pPr>
        <w:widowControl/>
      </w:pPr>
      <w:r>
        <w:rPr>
          <w:rFonts w:ascii="Commissioner" w:hAnsi="Commissioner"/>
        </w:rPr>
        <w:t>НДС: ________________________________________________________</w:t>
        <w:br/>
        <w:t>(указать сумму и ставку либо основание освобождения / неприменения НДС).</w:t>
      </w:r>
    </w:p>
    <w:p>
      <w:pPr>
        <w:widowControl/>
      </w:pPr>
      <w:r>
        <w:rPr>
          <w:rFonts w:ascii="Commissioner" w:hAnsi="Commissioner"/>
        </w:rPr>
        <w:t>3.2. Предоплата: __________ рублей; срок внесения: __________________. Остаток: __________ рублей; срок оплаты: __________________________. Если предоплата не нужна, указать «не предусмотрена».</w:t>
      </w:r>
    </w:p>
    <w:p>
      <w:pPr>
        <w:widowControl/>
      </w:pPr>
      <w:r>
        <w:rPr>
          <w:rFonts w:ascii="Commissioner" w:hAnsi="Commissioner"/>
        </w:rPr>
        <w:t>3.3. Оплата производится по согласованным реквизитам Исполнителя способом, допустимым законодательством. Платёжные документы Исполнитель оформляет в предусмотренных законом случаях. Изменение стоимости и платные дополнительные услуги требуют письменного согласия Заказчика.</w:t>
      </w:r>
    </w:p>
    <w:p>
      <w:pPr>
        <w:widowControl/>
      </w:pPr>
      <w:r>
        <w:rPr>
          <w:rFonts w:ascii="Commissioner" w:hAnsi="Commissioner"/>
        </w:rPr>
        <w:t>3.4. Согласованные расходы на оборудование, проезд и размещение: ________________________. Отметить, включены ли они в стоимость по п. 3.1 или оплачиваются отдельно, и указать сумму / порядок подтверждения.</w:t>
      </w:r>
    </w:p>
    <w:p>
      <w:pPr>
        <w:pStyle w:val="Heading1"/>
        <w:widowControl/>
      </w:pPr>
      <w:r>
        <w:rPr>
          <w:rFonts w:ascii="Commissioner" w:hAnsi="Commissioner"/>
        </w:rPr>
        <w:t>4. Приёмка услуги</w:t>
      </w:r>
    </w:p>
    <w:p>
      <w:pPr>
        <w:widowControl/>
      </w:pPr>
      <w:r>
        <w:rPr>
          <w:rFonts w:ascii="Commissioner" w:hAnsi="Commissioner"/>
        </w:rPr>
        <w:t>4.1. После мероприятия Исполнитель направляет Заказчику акт. Заказчик в течение 5 рабочих дней подписывает его либо направляет конкретные замечания. В акте указываются фактическая продолжительность и стоимость услуги.</w:t>
      </w:r>
    </w:p>
    <w:p>
      <w:pPr>
        <w:widowControl/>
      </w:pPr>
      <w:r>
        <w:rPr>
          <w:rFonts w:ascii="Commissioner" w:hAnsi="Commissioner"/>
        </w:rPr>
        <w:t>4.2. При наличии замечаний стороны фиксируют их и согласуют способ урегулирования. Приёмка услуги не ограничивает предусмотренные законом права Заказчика, в том числе требования в связи с недостатками.</w:t>
      </w:r>
    </w:p>
    <w:p>
      <w:pPr>
        <w:pStyle w:val="Heading1"/>
        <w:widowControl/>
      </w:pPr>
      <w:r>
        <w:rPr>
          <w:rFonts w:ascii="Commissioner" w:hAnsi="Commissioner"/>
        </w:rPr>
        <w:t>5. Перенос, отказ и ответственность</w:t>
      </w:r>
    </w:p>
    <w:p>
      <w:pPr>
        <w:widowControl/>
      </w:pPr>
      <w:r>
        <w:rPr>
          <w:rFonts w:ascii="Commissioner" w:hAnsi="Commissioner"/>
        </w:rPr>
        <w:t>5.1. Дата и условия мероприятия могут быть изменены по письменному соглашению сторон. Перенос не происходит автоматически: стороны отдельно подтверждают новую дату и необходимые изменения стоимости.</w:t>
      </w:r>
    </w:p>
    <w:p>
      <w:pPr>
        <w:widowControl/>
      </w:pPr>
      <w:r>
        <w:rPr>
          <w:rFonts w:ascii="Commissioner" w:hAnsi="Commissioner"/>
        </w:rPr>
        <w:t>5.2. Заказчик вправе отказаться от договора, уведомив Исполнителя. В этом случае оплачиваются фактически оказанные услуги и документально подтверждённые расходы, непосредственно связанные с исполнением договора, без двойного учёта одних и тех же сумм. Остаток полученных средств возвращается в течение 10 календарных дней после получения отказа; требования закона о более коротком сроке сохраняют силу.</w:t>
      </w:r>
    </w:p>
    <w:p>
      <w:pPr>
        <w:widowControl/>
      </w:pPr>
      <w:r>
        <w:rPr>
          <w:rFonts w:ascii="Commissioner" w:hAnsi="Commissioner"/>
        </w:rPr>
        <w:t>5.3. Если Исполнитель отказывается от договора по своей инициативе, он возвращает неотработанные средства и возмещает Заказчику убытки в соответствии с законом. За нарушение обязательств стороны несут ответственность по законодательству Российской Федерации.</w:t>
      </w:r>
    </w:p>
    <w:p>
      <w:pPr>
        <w:widowControl/>
      </w:pPr>
      <w:r>
        <w:rPr>
          <w:rFonts w:ascii="Commissioner" w:hAnsi="Commissioner"/>
        </w:rPr>
        <w:t>5.4. При обстоятельствах непреодолимой силы стороны без промедления уведомляют друг друга, подтверждают их влияние на исполнение договора и согласуют перенос или прекращение обязательств. Расчёты производятся в соответствии с законом.</w:t>
      </w:r>
    </w:p>
    <w:p>
      <w:pPr>
        <w:widowControl/>
      </w:pPr>
      <w:r>
        <w:rPr>
          <w:rFonts w:ascii="Commissioner" w:hAnsi="Commissioner"/>
        </w:rPr>
        <w:br w:type="page"/>
      </w:r>
    </w:p>
    <w:p>
      <w:pPr>
        <w:pStyle w:val="Heading1"/>
        <w:widowControl/>
      </w:pPr>
      <w:r>
        <w:rPr>
          <w:rFonts w:ascii="Commissioner" w:hAnsi="Commissioner"/>
        </w:rPr>
        <w:t>6. Использование музыки, съёмка и документы</w:t>
      </w:r>
    </w:p>
    <w:p>
      <w:pPr>
        <w:widowControl/>
      </w:pPr>
      <w:r>
        <w:rPr>
          <w:rFonts w:ascii="Commissioner" w:hAnsi="Commissioner"/>
        </w:rPr>
        <w:t>6.1. Договор предусматривает услугу музыкального оформления и не передаёт исключительные права на музыкальные произведения и фонограммы. Если мероприятие требует разрешений и выплат за публичное использование музыки, до его проведения стороны письменно определяют, кто обеспечивает их оформление: ____________________________.</w:t>
      </w:r>
    </w:p>
    <w:p>
      <w:pPr>
        <w:widowControl/>
      </w:pPr>
      <w:r>
        <w:rPr>
          <w:rFonts w:ascii="Commissioner" w:hAnsi="Commissioner"/>
        </w:rPr>
        <w:t>6.2. Коммерческое использование записи выступления, изображения и имени артиста, а также публикация Исполнителем материалов с закрытого мероприятия согласуются отдельно. Права гостей и иных участников съёмки соблюдаются в соответствии с законом.</w:t>
      </w:r>
    </w:p>
    <w:p>
      <w:pPr>
        <w:widowControl/>
      </w:pPr>
      <w:r>
        <w:rPr>
          <w:rFonts w:ascii="Commissioner" w:hAnsi="Commissioner"/>
        </w:rPr>
        <w:t>6.3. Задание, изменения, райдеры и уведомления направляются по указанным ниже контактам. Для подписания договора и акта используются бумажные экземпляры, согласованная электронная подпись либо обмен подписанными сканами по подтверждённым адресам сторон, позволяющим установить отправителя. Изменение банковских реквизитов дополнительно подтверждается по известному контакту.</w:t>
      </w:r>
    </w:p>
    <w:p>
      <w:pPr>
        <w:pStyle w:val="Heading1"/>
        <w:widowControl/>
      </w:pPr>
      <w:r>
        <w:rPr>
          <w:rFonts w:ascii="Commissioner" w:hAnsi="Commissioner"/>
        </w:rPr>
        <w:t>7. Заключительные положения</w:t>
      </w:r>
    </w:p>
    <w:p>
      <w:pPr>
        <w:widowControl/>
      </w:pPr>
      <w:r>
        <w:rPr>
          <w:rFonts w:ascii="Commissioner" w:hAnsi="Commissioner"/>
        </w:rPr>
        <w:t>7.1. Договор действует с момента подписания до исполнения обязательств. Стороны стараются разрешить разногласия переговорами; при отсутствии соглашения спор рассматривается по правилам подсудности, установленным законом.</w:t>
      </w:r>
    </w:p>
    <w:p>
      <w:pPr>
        <w:widowControl/>
      </w:pPr>
      <w:r>
        <w:rPr>
          <w:rFonts w:ascii="Commissioner" w:hAnsi="Commissioner"/>
        </w:rPr>
        <w:t>7.2. Если Заказчик приобретает услугу для личных, семейных или иных нужд, не связанных с предпринимательством, применяются обязательные гарантии законодательства о защите прав потребителей. Условия договора не ограничивают эти гарантии.</w:t>
      </w:r>
    </w:p>
    <w:p>
      <w:pPr>
        <w:pStyle w:val="Heading1"/>
        <w:widowControl/>
      </w:pPr>
      <w:r>
        <w:rPr>
          <w:rFonts w:ascii="Commissioner" w:hAnsi="Commissioner"/>
        </w:rPr>
        <w:t>8. Реквизиты и подписи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pPr>
              <w:spacing w:after="100" w:line="259" w:lineRule="auto"/>
            </w:pPr>
            <w:r>
              <w:rPr>
                <w:b/>
                <w:sz w:val="21"/>
              </w:rPr>
              <w:t>Исполнитель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ИП Фомичёв Дмитрий Сергеевич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ИНН 672907568230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ОГРНИП 310392634900121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119526, г. Москва, ул. 26-ти Бакинских комиссаров, д. 14, кв. 95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Р/с 40802810900000340216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АО «ТБанк»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БИК 044525974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К/с 30101810145250000974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Телефон: +7 926 950 67 59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Telegram: https://t.me/fomichevdima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E-mail: musiquelatelier@gmail.com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Подпись: __________ / Фомичёв Д. С. /</w:t>
            </w:r>
          </w:p>
        </w:tc>
        <w:tc>
          <w:tcPr>
            <w:tcW w:type="dxa" w:w="4968"/>
          </w:tcPr>
          <w:p>
            <w:pPr>
              <w:spacing w:after="100" w:line="259" w:lineRule="auto"/>
            </w:pPr>
            <w:r>
              <w:rPr>
                <w:b/>
                <w:sz w:val="21"/>
              </w:rPr>
              <w:t>Заказчик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Ф. И. О. / наименование: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________________________________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ИНН / ОГРН (для организации, ИП):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________________________________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Адрес: _________________________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________________________________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Р/с, банк, БИК, к/с (при наличии):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________________________________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Телефон: _______________________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E-mail / Telegram: _______________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Представитель: _________________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Подпись: _________ / ___________ /</w:t>
            </w:r>
          </w:p>
        </w:tc>
      </w:tr>
    </w:tbl>
    <w:p>
      <w:pPr>
        <w:widowControl/>
      </w:pPr>
      <w:r>
        <w:rPr>
          <w:rFonts w:ascii="Commissioner" w:hAnsi="Commissioner"/>
        </w:rPr>
        <w:br w:type="page"/>
      </w:r>
    </w:p>
    <w:p>
      <w:pPr>
        <w:pStyle w:val="Title"/>
        <w:widowControl/>
      </w:pPr>
      <w:r>
        <w:rPr>
          <w:rFonts w:ascii="Commissioner" w:hAnsi="Commissioner"/>
        </w:rPr>
        <w:t>Акт оказанных услуг</w:t>
      </w:r>
    </w:p>
    <w:p>
      <w:pPr>
        <w:pStyle w:val="Subtitle"/>
        <w:widowControl/>
      </w:pPr>
      <w:r>
        <w:rPr>
          <w:rFonts w:ascii="Commissioner" w:hAnsi="Commissioner"/>
        </w:rPr>
        <w:t>к договору № _________ от «___» __________ 20___ г.</w:t>
      </w:r>
    </w:p>
    <w:p>
      <w:pPr>
        <w:widowControl/>
      </w:pPr>
      <w:r>
        <w:rPr>
          <w:rFonts w:ascii="Commissioner" w:hAnsi="Commissioner"/>
        </w:rPr>
        <w:t>г. ________________________    «___» ______________ 20___ г.</w:t>
      </w:r>
    </w:p>
    <w:p>
      <w:pPr>
        <w:widowControl/>
      </w:pPr>
      <w:r>
        <w:rPr>
          <w:rFonts w:ascii="Commissioner" w:hAnsi="Commissioner"/>
        </w:rPr>
        <w:t>Индивидуальный предприниматель Фомичёв Дмитрий Сергеевич, ИНН 672907568230, ОГРНИП 310392634900121, и ________________________________________________ (Заказчик), в лице ______________________________________ (если применимо), составили настоящий акт о следующем:</w:t>
      </w:r>
    </w:p>
    <w:p>
      <w:pPr>
        <w:widowControl/>
      </w:pPr>
      <w:r>
        <w:rPr>
          <w:rFonts w:ascii="Commissioner" w:hAnsi="Commissioner"/>
        </w:rPr>
        <w:t>1. Исполнитель оказал услугу «Музыкальное оформление мероприятия». Артист — FOMICHÈV.</w:t>
      </w:r>
    </w:p>
    <w:p>
      <w:pPr>
        <w:widowControl/>
      </w:pPr>
      <w:r>
        <w:rPr>
          <w:rFonts w:ascii="Commissioner" w:hAnsi="Commissioner"/>
          <w:b/>
        </w:rPr>
        <w:t xml:space="preserve">Мероприятие: </w:t>
      </w:r>
      <w:r>
        <w:rPr>
          <w:rFonts w:ascii="Commissioner" w:hAnsi="Commissioner"/>
        </w:rPr>
        <w:t>________________________________________________</w:t>
      </w:r>
    </w:p>
    <w:p>
      <w:pPr>
        <w:widowControl/>
      </w:pPr>
      <w:r>
        <w:rPr>
          <w:rFonts w:ascii="Commissioner" w:hAnsi="Commissioner"/>
          <w:b/>
        </w:rPr>
        <w:t xml:space="preserve">Дата и площадка: </w:t>
      </w:r>
      <w:r>
        <w:rPr>
          <w:rFonts w:ascii="Commissioner" w:hAnsi="Commissioner"/>
        </w:rPr>
        <w:t>________________________________________________</w:t>
      </w:r>
    </w:p>
    <w:p>
      <w:pPr>
        <w:widowControl/>
      </w:pPr>
      <w:r>
        <w:rPr>
          <w:rFonts w:ascii="Commissioner" w:hAnsi="Commissioner"/>
          <w:b/>
        </w:rPr>
        <w:t xml:space="preserve">Фактическое время выступления: </w:t>
      </w:r>
      <w:r>
        <w:rPr>
          <w:rFonts w:ascii="Commissioner" w:hAnsi="Commissioner"/>
        </w:rPr>
        <w:t>________________________________________________</w:t>
      </w:r>
    </w:p>
    <w:p>
      <w:pPr>
        <w:widowControl/>
      </w:pPr>
      <w:r>
        <w:rPr>
          <w:rFonts w:ascii="Commissioner" w:hAnsi="Commissioner"/>
          <w:b/>
        </w:rPr>
        <w:t xml:space="preserve">Общая продолжительность: </w:t>
      </w:r>
      <w:r>
        <w:rPr>
          <w:rFonts w:ascii="Commissioner" w:hAnsi="Commissioner"/>
        </w:rPr>
        <w:t>__________ часов __________ минут</w:t>
      </w:r>
    </w:p>
    <w:p>
      <w:pPr>
        <w:widowControl/>
      </w:pPr>
      <w:r>
        <w:rPr>
          <w:rFonts w:ascii="Commissioner" w:hAnsi="Commissioner"/>
        </w:rPr>
        <w:t>2. Стоимость фактически оказанной услуги: __________ (_____________</w:t>
        <w:br/>
        <w:t>__________________________________________) рублей.</w:t>
      </w:r>
    </w:p>
    <w:p>
      <w:pPr>
        <w:widowControl/>
      </w:pPr>
      <w:r>
        <w:rPr>
          <w:rFonts w:ascii="Commissioner" w:hAnsi="Commissioner"/>
          <w:b/>
        </w:rPr>
        <w:t xml:space="preserve">НДС (сумма и ставка / основание): </w:t>
      </w:r>
      <w:r>
        <w:rPr>
          <w:rFonts w:ascii="Commissioner" w:hAnsi="Commissioner"/>
        </w:rPr>
        <w:t>________________________________________________</w:t>
      </w:r>
    </w:p>
    <w:p>
      <w:pPr>
        <w:widowControl/>
      </w:pPr>
      <w:r>
        <w:rPr>
          <w:rFonts w:ascii="Commissioner" w:hAnsi="Commissioner"/>
          <w:b/>
        </w:rPr>
        <w:t xml:space="preserve">Получено оплаты: </w:t>
      </w:r>
      <w:r>
        <w:rPr>
          <w:rFonts w:ascii="Commissioner" w:hAnsi="Commissioner"/>
        </w:rPr>
        <w:t>________________ рублей</w:t>
      </w:r>
    </w:p>
    <w:p>
      <w:pPr>
        <w:widowControl/>
      </w:pPr>
      <w:r>
        <w:rPr>
          <w:rFonts w:ascii="Commissioner" w:hAnsi="Commissioner"/>
          <w:b/>
        </w:rPr>
        <w:t xml:space="preserve">Остаток к оплате и срок: </w:t>
      </w:r>
      <w:r>
        <w:rPr>
          <w:rFonts w:ascii="Commissioner" w:hAnsi="Commissioner"/>
        </w:rPr>
        <w:t>_____________________________________</w:t>
      </w:r>
    </w:p>
    <w:p>
      <w:pPr>
        <w:widowControl/>
      </w:pPr>
      <w:r>
        <w:rPr>
          <w:rFonts w:ascii="Commissioner" w:hAnsi="Commissioner"/>
        </w:rPr>
        <w:t>3. Результат приёмки (отметить и заполнить):</w:t>
      </w:r>
    </w:p>
    <w:p>
      <w:pPr>
        <w:widowControl/>
      </w:pPr>
      <w:r>
        <w:rPr>
          <w:rFonts w:ascii="Commissioner" w:hAnsi="Commissioner"/>
        </w:rPr>
        <w:t>[  ] Услуга принята, замечаний к объёму и качеству на дату подписания нет.</w:t>
        <w:br/>
        <w:t>[  ] Услуга принята со следующими замечаниями:</w:t>
      </w:r>
    </w:p>
    <w:p>
      <w:pPr>
        <w:widowControl/>
      </w:pPr>
      <w:r>
        <w:rPr>
          <w:rFonts w:ascii="Commissioner" w:hAnsi="Commissioner"/>
        </w:rPr>
        <w:t>________________________________________________________________</w:t>
        <w:br/>
        <w:t>________________________________________________________________</w:t>
        <w:br/>
        <w:t>________________________________________________________________</w:t>
      </w:r>
    </w:p>
    <w:p>
      <w:pPr>
        <w:widowControl/>
      </w:pPr>
      <w:r>
        <w:rPr>
          <w:rFonts w:ascii="Commissioner" w:hAnsi="Commissioner"/>
        </w:rPr>
        <w:t>Подписание акта не исключает требований, которые сохраняются за Заказчиком в силу закона.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pPr>
              <w:spacing w:after="100" w:line="259" w:lineRule="auto"/>
            </w:pPr>
            <w:r>
              <w:rPr>
                <w:b/>
                <w:sz w:val="21"/>
              </w:rPr>
              <w:t>Исполнитель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ИП Фомичёв Дмитрий Сергеевич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________________ / Фомичёв Д. С. /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Дата: __________________________</w:t>
            </w:r>
          </w:p>
        </w:tc>
        <w:tc>
          <w:tcPr>
            <w:tcW w:type="dxa" w:w="4968"/>
          </w:tcPr>
          <w:p>
            <w:pPr>
              <w:spacing w:after="100" w:line="259" w:lineRule="auto"/>
            </w:pPr>
            <w:r>
              <w:rPr>
                <w:b/>
                <w:sz w:val="21"/>
              </w:rPr>
              <w:t>Заказчик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________________________________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________________ / ____________ /</w:t>
            </w:r>
          </w:p>
          <w:p>
            <w:pPr>
              <w:spacing w:after="100" w:line="259" w:lineRule="auto"/>
            </w:pPr>
            <w:r>
              <w:rPr>
                <w:sz w:val="21"/>
              </w:rPr>
              <w:t>Дата: 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37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mmissioner">
    <w:embedRegular r:id="rIdCommissionerRegular" w:fontKey="{04CCF100-1184-5B2B-BDDD-45DA2BD3D4E8}" w:subsetted="false"/>
    <w:embedBold r:id="rIdCommissionerBold" w:fontKey="{FC496419-8799-5017-8F51-900CACA5BED9}" w:subsetted="fals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FOMICHÈV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FOMICHÈV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false"/>
  <w:embedTrueTypeFonts/>
  <w:embedSystem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Commissioner" w:hAnsi="Commissioner" w:cs="Commissioner" w:eastAsia="Commissioner"/>
      <w:i w:val="0"/>
      <w:color w:val="18181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ommissioner" w:hAnsi="Commissioner" w:cs="Commissioner" w:eastAsia="Commissioner"/>
      <w:i w:val="0"/>
      <w:color w:val="181818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ommissioner" w:hAnsi="Commissioner" w:cs="Commissioner" w:eastAsia="Commissioner"/>
      <w:i w:val="0"/>
      <w:color w:val="181818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ommissioner" w:hAnsi="Commissioner" w:cs="Commissioner" w:eastAsia="Commissioner"/>
      <w:i w:val="0"/>
      <w:color w:val="1818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ommissioner" w:hAnsi="Commissioner" w:cs="Commissioner" w:eastAsia="Commissioner"/>
      <w:i w:val="0"/>
      <w:color w:val="1818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="Commissioner" w:hAnsi="Commissioner" w:cs="Commissioner" w:eastAsia="Commissioner"/>
      <w:b/>
      <w:bCs/>
      <w:i w:val="0"/>
      <w:color w:val="181818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="Commissioner" w:hAnsi="Commissioner" w:cs="Commissioner" w:eastAsia="Commissioner"/>
      <w:b/>
      <w:bCs/>
      <w:i w:val="0"/>
      <w:color w:val="18181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ommissioner" w:hAnsi="Commissioner" w:cs="Commissioner" w:eastAsia="Commissioner"/>
      <w:b/>
      <w:bCs/>
      <w:i w:val="0"/>
      <w:color w:val="1818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ommissioner" w:hAnsi="Commissioner" w:cs="Commissioner" w:eastAsia="Commissioner"/>
      <w:b/>
      <w:bCs/>
      <w:i w:val="0"/>
      <w:iCs/>
      <w:color w:val="18181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ommissioner" w:hAnsi="Commissioner" w:cs="Commissioner" w:eastAsia="Commissioner"/>
      <w:i w:val="0"/>
      <w:color w:val="1818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ommissioner" w:hAnsi="Commissioner" w:cs="Commissioner" w:eastAsia="Commissioner"/>
      <w:i w:val="0"/>
      <w:iCs/>
      <w:color w:val="1818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ommissioner" w:hAnsi="Commissioner" w:cs="Commissioner" w:eastAsia="Commissioner"/>
      <w:i w:val="0"/>
      <w:iCs/>
      <w:color w:val="1818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ommissioner" w:hAnsi="Commissioner" w:cs="Commissioner" w:eastAsia="Commissioner"/>
      <w:i w:val="0"/>
      <w:color w:val="181818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ommissioner" w:hAnsi="Commissioner" w:cs="Commissioner" w:eastAsia="Commissioner"/>
      <w:i w:val="0"/>
      <w:iCs/>
      <w:color w:val="18181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ommissioner" w:hAnsi="Commissioner" w:cs="Commissioner" w:eastAsia="Commissioner"/>
      <w:i w:val="0"/>
      <w:color w:val="181818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ommissioner" w:hAnsi="Commissioner" w:cs="Commissioner" w:eastAsia="Commissioner"/>
      <w:i w:val="0"/>
      <w:color w:val="181818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Commissioner" w:hAnsi="Commissioner" w:cs="Commissioner" w:eastAsia="Commissioner"/>
      <w:b/>
      <w:bCs/>
      <w:i w:val="0"/>
      <w:color w:val="181818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Commissioner" w:hAnsi="Commissioner" w:cs="Commissioner" w:eastAsia="Commissioner"/>
      <w:b/>
      <w:bCs/>
      <w:i w:val="0"/>
      <w:color w:val="181818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Commissioner" w:hAnsi="Commissioner" w:cs="Commissioner" w:eastAsia="Commissioner"/>
      <w:b/>
      <w:bCs/>
      <w:i w:val="0"/>
      <w:color w:val="18181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="Commissioner" w:hAnsi="Commissioner" w:cs="Commissioner" w:eastAsia="Commissioner"/>
      <w:b/>
      <w:i w:val="0"/>
      <w:color w:val="181818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Commissioner" w:hAnsi="Commissioner" w:cs="Commissioner" w:eastAsia="Commissioner"/>
      <w:i w:val="0"/>
      <w:color w:val="181818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="Commissioner" w:hAnsi="Commissioner" w:cs="Commissioner" w:eastAsia="Commissioner"/>
      <w:b w:val="0"/>
      <w:i w:val="0"/>
      <w:iCs/>
      <w:color w:val="181818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Commissioner" w:hAnsi="Commissioner" w:cs="Commissioner" w:eastAsia="Commissioner"/>
      <w:i w:val="0"/>
      <w:iCs/>
      <w:color w:val="181818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ommissioner" w:hAnsi="Commissioner" w:cs="Commissioner" w:eastAsia="Commissioner"/>
      <w:i w:val="0"/>
      <w:color w:val="18181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ommissioner" w:hAnsi="Commissioner" w:cs="Commissioner" w:eastAsia="Commissioner"/>
      <w:i w:val="0"/>
      <w:color w:val="1818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ommissioner" w:hAnsi="Commissioner" w:cs="Commissioner" w:eastAsia="Commissioner"/>
      <w:i w:val="0"/>
      <w:color w:val="181818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ommissioner" w:hAnsi="Commissioner" w:cs="Commissioner" w:eastAsia="Commissioner"/>
      <w:i w:val="0"/>
      <w:color w:val="181818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ommissioner" w:hAnsi="Commissioner" w:cs="Commissioner" w:eastAsia="Commissioner"/>
      <w:i w:val="0"/>
      <w:color w:val="181818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ommissioner" w:hAnsi="Commissioner" w:cs="Commissioner" w:eastAsia="Commissioner"/>
      <w:i w:val="0"/>
      <w:color w:val="181818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ommissioner" w:hAnsi="Commissioner" w:cs="Commissioner" w:eastAsia="Commissioner"/>
      <w:i w:val="0"/>
      <w:color w:val="181818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ommissioner" w:hAnsi="Commissioner" w:cs="Commissioner" w:eastAsia="Commissioner"/>
      <w:i w:val="0"/>
      <w:color w:val="181818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ommissioner" w:hAnsi="Commissioner" w:cs="Commissioner" w:eastAsia="Commissioner"/>
      <w:i w:val="0"/>
      <w:color w:val="181818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ommissioner" w:hAnsi="Commissioner" w:cs="Commissioner" w:eastAsia="Commissioner"/>
      <w:i w:val="0"/>
      <w:color w:val="181818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ommissioner" w:hAnsi="Commissioner" w:cs="Commissioner" w:eastAsia="Commissioner"/>
      <w:i w:val="0"/>
      <w:color w:val="1818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ommissioner" w:hAnsi="Commissioner" w:cs="Commissioner" w:eastAsia="Commissioner"/>
      <w:i w:val="0"/>
      <w:color w:val="1818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ommissioner" w:hAnsi="Commissioner" w:cs="Commissioner" w:eastAsia="Commissioner"/>
      <w:i w:val="0"/>
      <w:color w:val="181818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ommissioner" w:hAnsi="Commissioner" w:cs="Commissioner" w:eastAsia="Commissioner"/>
      <w:i w:val="0"/>
      <w:color w:val="1818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ommissioner" w:hAnsi="Commissioner" w:cs="Commissioner" w:eastAsia="Commissioner"/>
      <w:i w:val="0"/>
      <w:color w:val="181818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ommissioner" w:hAnsi="Commissioner" w:cs="Commissioner" w:eastAsia="Commissioner"/>
      <w:i w:val="0"/>
      <w:color w:val="181818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ommissioner" w:hAnsi="Commissioner" w:cs="Commissioner" w:eastAsia="Commissioner"/>
      <w:i w:val="0"/>
      <w:color w:val="181818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ommissioner" w:hAnsi="Commissioner" w:cs="Commissioner" w:eastAsia="Commissioner"/>
      <w:i w:val="0"/>
      <w:color w:val="181818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ommissioner" w:hAnsi="Commissioner" w:cs="Commissioner" w:eastAsia="Commissioner"/>
      <w:i w:val="0"/>
      <w:color w:val="181818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mmissioner" w:hAnsi="Commissioner" w:cs="Commissioner" w:eastAsia="Commissioner"/>
      <w:i w:val="0"/>
      <w:color w:val="181818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mmissioner" w:hAnsi="Commissioner" w:cs="Commissioner" w:eastAsia="Commissioner"/>
      <w:i w:val="0"/>
      <w:color w:val="181818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ommissioner" w:hAnsi="Commissioner" w:cs="Commissioner" w:eastAsia="Commissioner"/>
      <w:i w:val="0"/>
      <w:iCs/>
      <w:color w:val="181818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ommissioner" w:hAnsi="Commissioner" w:cs="Commissioner" w:eastAsia="Commissioner"/>
      <w:i w:val="0"/>
      <w:iCs/>
      <w:color w:val="1818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Commissioner" w:hAnsi="Commissioner" w:cs="Commissioner" w:eastAsia="Commissioner"/>
      <w:b/>
      <w:bCs/>
      <w:i w:val="0"/>
      <w:iCs/>
      <w:color w:val="1818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Commissioner" w:hAnsi="Commissioner" w:cs="Commissioner" w:eastAsia="Commissioner"/>
      <w:i w:val="0"/>
      <w:color w:val="1818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Commissioner" w:hAnsi="Commissioner" w:cs="Commissioner" w:eastAsia="Commissioner"/>
      <w:i w:val="0"/>
      <w:iCs/>
      <w:color w:val="1818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Commissioner" w:hAnsi="Commissioner" w:cs="Commissioner" w:eastAsia="Commissioner"/>
      <w:i w:val="0"/>
      <w:iCs/>
      <w:color w:val="1818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Commissioner" w:hAnsi="Commissioner" w:cs="Commissioner" w:eastAsia="Commissioner"/>
      <w:i w:val="0"/>
      <w:color w:val="181818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Commissioner" w:hAnsi="Commissioner" w:cs="Commissioner" w:eastAsia="Commissioner"/>
      <w:i w:val="0"/>
      <w:iCs/>
      <w:color w:val="181818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ommissioner" w:hAnsi="Commissioner" w:cs="Commissioner" w:eastAsia="Commissioner"/>
      <w:b/>
      <w:bCs/>
      <w:i w:val="0"/>
      <w:color w:val="181818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ommissioner" w:hAnsi="Commissioner" w:cs="Commissioner" w:eastAsia="Commissioner"/>
      <w:b/>
      <w:bCs/>
      <w:i w:val="0"/>
      <w:color w:val="181818"/>
    </w:rPr>
  </w:style>
  <w:style w:type="character" w:styleId="Emphasis">
    <w:name w:val="Emphasis"/>
    <w:basedOn w:val="DefaultParagraphFont"/>
    <w:uiPriority w:val="20"/>
    <w:qFormat/>
    <w:rsid w:val="00FC693F"/>
    <w:rPr>
      <w:rFonts w:ascii="Commissioner" w:hAnsi="Commissioner" w:cs="Commissioner" w:eastAsia="Commissioner"/>
      <w:i w:val="0"/>
      <w:iCs/>
      <w:color w:val="1818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Commissioner" w:hAnsi="Commissioner" w:cs="Commissioner" w:eastAsia="Commissioner"/>
      <w:b/>
      <w:bCs/>
      <w:i w:val="0"/>
      <w:iCs/>
      <w:color w:val="1818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ommissioner" w:hAnsi="Commissioner" w:cs="Commissioner" w:eastAsia="Commissioner"/>
      <w:b/>
      <w:bCs/>
      <w:i w:val="0"/>
      <w:iCs/>
      <w:color w:val="181818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ommissioner" w:hAnsi="Commissioner" w:cs="Commissioner" w:eastAsia="Commissioner"/>
      <w:i w:val="0"/>
      <w:iCs/>
      <w:color w:val="181818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ommissioner" w:hAnsi="Commissioner" w:cs="Commissioner" w:eastAsia="Commissioner"/>
      <w:b/>
      <w:bCs/>
      <w:i w:val="0"/>
      <w:iCs/>
      <w:color w:val="181818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ommissioner" w:hAnsi="Commissioner" w:cs="Commissioner" w:eastAsia="Commissioner"/>
      <w:i w:val="0"/>
      <w:smallCaps/>
      <w:color w:val="181818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ommissioner" w:hAnsi="Commissioner" w:cs="Commissioner" w:eastAsia="Commissioner"/>
      <w:b/>
      <w:bCs/>
      <w:i w:val="0"/>
      <w:smallCaps/>
      <w:color w:val="181818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ommissioner" w:hAnsi="Commissioner" w:cs="Commissioner" w:eastAsia="Commissioner"/>
      <w:b/>
      <w:bCs/>
      <w:i w:val="0"/>
      <w:smallCaps/>
      <w:color w:val="181818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ommissioner" w:hAnsi="Commissioner" w:cs="Commissioner" w:eastAsia="Commissioner"/>
      <w:i w:val="0"/>
      <w:color w:val="181818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CommissionerRegular" Type="http://schemas.openxmlformats.org/officeDocument/2006/relationships/font" Target="fonts/Commissioner-Regular.odttf"/><Relationship Id="rIdCommissionerBold" Type="http://schemas.openxmlformats.org/officeDocument/2006/relationships/font" Target="fonts/Commissioner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FOMICHÈV — Договор на оказание услуг и акт</dc:title>
  <dc:subject>Музыкальное оформление мероприятия</dc:subject>
  <dc:creator>FOMICHÈV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